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b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hint="eastAsia" w:ascii="宋体" w:hAnsi="宋体" w:cs="宋体"/>
          <w:b/>
          <w:sz w:val="28"/>
          <w:szCs w:val="28"/>
        </w:rPr>
        <w:t xml:space="preserve">             </w:t>
      </w:r>
      <w:r>
        <w:rPr>
          <w:rFonts w:hint="eastAsia" w:ascii="黑体" w:eastAsia="黑体"/>
          <w:b/>
          <w:sz w:val="32"/>
          <w:szCs w:val="32"/>
        </w:rPr>
        <w:t>网络创业培训班教学内容</w:t>
      </w:r>
    </w:p>
    <w:tbl>
      <w:tblPr>
        <w:tblStyle w:val="4"/>
        <w:tblW w:w="85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67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color w:val="000000"/>
                <w:sz w:val="18"/>
                <w:szCs w:val="18"/>
              </w:rPr>
              <w:t>授课内容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第一部分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1.网络创业培训项目介绍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2.破冰分组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1.网络创业（电商）8个步骤介绍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2.实操：开店准备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店铺规则介绍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模拟商城店铺注册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第三方电商平台店铺注册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第二部分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1.了解互联网创业趋势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2.互联网创业思维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实操：商品管理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商品标题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商品描述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商品定价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第三部分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主流电商模式介绍（上）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农村电商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跨境电商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实操：店铺装修（上）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作图工具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装修素材制作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模拟商城店铺装修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第四部分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主流电商模式介绍（下）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O2O电商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移动电商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实操：店铺管理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客服管理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交易管理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评价管理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第五部分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网络创业基础（上）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项目选择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市场分析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实操：货源管理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寻找货源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ERP供销平台绑定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交易安全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第六部分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网络创业基础（下）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团队建设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财务管理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实操：移动端店铺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移动店铺平台选择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移动端店铺注册与设置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移动端店铺管理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移动店铺运营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第七部分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实操：店铺装修（下）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店铺基本装修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店铺基本设置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手机端店铺装修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实操：网络</w:t>
            </w:r>
            <w:r>
              <w:rPr>
                <w:rFonts w:hint="eastAsia" w:ascii="宋体" w:hAnsi="宋体" w:cs="仿宋"/>
                <w:color w:val="000000"/>
                <w:kern w:val="2"/>
                <w:sz w:val="18"/>
                <w:szCs w:val="18"/>
              </w:rPr>
              <w:t>推广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推广原理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免费推广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收费推广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第八部分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实操：店铺数据化运营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常见数据解析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自然流量解析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数据分析工具与使用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微营销实战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粉丝运作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公众账号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软文营销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第九部分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实操：店铺优化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店铺优化维度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课程梳理回顾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店铺自我优化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创业活动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学员交流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成功创业者介绍经验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76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第十部分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政策讲解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国家、省及所在市、县（区）就业创业政策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创业贷款、创业引导资金等扶持政策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工商管理、税务等政策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结班考核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理论考试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创业实践成果提交</w:t>
            </w:r>
          </w:p>
        </w:tc>
      </w:tr>
    </w:tbl>
    <w:p>
      <w:pPr>
        <w:jc w:val="center"/>
        <w:rPr>
          <w:rFonts w:asci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4612CA"/>
    <w:multiLevelType w:val="multilevel"/>
    <w:tmpl w:val="174612C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1D8475D9"/>
    <w:multiLevelType w:val="multilevel"/>
    <w:tmpl w:val="1D8475D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3458540E"/>
    <w:multiLevelType w:val="multilevel"/>
    <w:tmpl w:val="3458540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56665701"/>
    <w:multiLevelType w:val="singleLevel"/>
    <w:tmpl w:val="5666570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4">
    <w:nsid w:val="642B1391"/>
    <w:multiLevelType w:val="multilevel"/>
    <w:tmpl w:val="642B139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">
    <w:nsid w:val="6F9873C1"/>
    <w:multiLevelType w:val="multilevel"/>
    <w:tmpl w:val="6F9873C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6">
    <w:nsid w:val="7D783139"/>
    <w:multiLevelType w:val="multilevel"/>
    <w:tmpl w:val="7D78313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7">
    <w:nsid w:val="7E9F61C9"/>
    <w:multiLevelType w:val="multilevel"/>
    <w:tmpl w:val="7E9F61C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MWI3NjU2NmQ4Mzk4ODdiMjVhN2JhMTBhOTE4NzAifQ=="/>
  </w:docVars>
  <w:rsids>
    <w:rsidRoot w:val="00972781"/>
    <w:rsid w:val="000357A8"/>
    <w:rsid w:val="004706DB"/>
    <w:rsid w:val="00521D6A"/>
    <w:rsid w:val="005B730D"/>
    <w:rsid w:val="00972781"/>
    <w:rsid w:val="00C01A32"/>
    <w:rsid w:val="4F28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552</Characters>
  <Lines>4</Lines>
  <Paragraphs>1</Paragraphs>
  <TotalTime>0</TotalTime>
  <ScaleCrop>false</ScaleCrop>
  <LinksUpToDate>false</LinksUpToDate>
  <CharactersWithSpaces>565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2017-05-31T02:38:00Z</dcterms:created>
  <dc:creator>admin</dc:creator>
  <cp:lastModifiedBy>chenqiusheng8</cp:lastModifiedBy>
  <dcterms:modified xsi:type="dcterms:W3CDTF">2022-11-02T00:46:23Z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69C2B99CC3E54D6396ECFFB80D74F8A9</vt:lpwstr>
  </property>
</Properties>
</file>