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color w:val="231F20"/>
          <w:kern w:val="0"/>
          <w:sz w:val="24"/>
        </w:rPr>
      </w:pPr>
      <w:bookmarkStart w:id="0" w:name="_GoBack"/>
      <w:bookmarkEnd w:id="0"/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color w:val="231F20"/>
          <w:kern w:val="0"/>
          <w:sz w:val="24"/>
        </w:rPr>
        <w:t>附件二：合肥工业大学文房四宝创意设计大赛的</w:t>
      </w:r>
      <w:r>
        <w:rPr>
          <w:rFonts w:hint="eastAsia" w:ascii="宋体" w:hAnsi="宋体" w:cs="宋体"/>
          <w:b/>
          <w:color w:val="231F20"/>
          <w:kern w:val="0"/>
          <w:sz w:val="24"/>
          <w:lang w:val="en-US" w:eastAsia="zh-CN"/>
        </w:rPr>
        <w:t>选题</w:t>
      </w:r>
      <w:r>
        <w:rPr>
          <w:rFonts w:hint="eastAsia" w:ascii="宋体" w:hAnsi="宋体" w:cs="宋体"/>
          <w:b/>
          <w:color w:val="231F20"/>
          <w:kern w:val="0"/>
          <w:sz w:val="24"/>
        </w:rPr>
        <w:t>指南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</w:t>
      </w:r>
      <w:r>
        <w:rPr>
          <w:rFonts w:ascii="宋体" w:hAnsi="宋体" w:cs="宋体"/>
          <w:kern w:val="0"/>
          <w:sz w:val="24"/>
        </w:rPr>
        <w:t>皖南区域文房四宝产业发展现状的深度调查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</w:t>
      </w:r>
      <w:r>
        <w:rPr>
          <w:rFonts w:ascii="宋体" w:hAnsi="宋体" w:cs="宋体"/>
          <w:kern w:val="0"/>
          <w:sz w:val="24"/>
        </w:rPr>
        <w:t>）皖南区域文房四宝非物质文化遗产的传承路径与模式创新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（3</w:t>
      </w:r>
      <w:r>
        <w:rPr>
          <w:rFonts w:ascii="宋体" w:hAnsi="宋体" w:cs="宋体"/>
          <w:kern w:val="0"/>
          <w:sz w:val="24"/>
        </w:rPr>
        <w:t>）皖南区域文房四宝的艺术鉴赏与创意体验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（4</w:t>
      </w:r>
      <w:r>
        <w:rPr>
          <w:rFonts w:ascii="宋体" w:hAnsi="宋体" w:cs="宋体"/>
          <w:kern w:val="0"/>
          <w:sz w:val="24"/>
        </w:rPr>
        <w:t>）皖南区域文房四宝系列文旅产品的设计推介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（5</w:t>
      </w:r>
      <w:r>
        <w:rPr>
          <w:rFonts w:ascii="宋体" w:hAnsi="宋体" w:cs="宋体"/>
          <w:kern w:val="0"/>
          <w:sz w:val="24"/>
        </w:rPr>
        <w:t>）皖南区域文房四宝设计的短视频制作与推广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（6</w:t>
      </w:r>
      <w:r>
        <w:rPr>
          <w:rFonts w:ascii="宋体" w:hAnsi="宋体" w:cs="宋体"/>
          <w:kern w:val="0"/>
          <w:sz w:val="24"/>
        </w:rPr>
        <w:t>）皖南区域文房四宝知识产权的保护现状与路径设计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（7</w:t>
      </w:r>
      <w:r>
        <w:rPr>
          <w:rFonts w:ascii="宋体" w:hAnsi="宋体" w:cs="宋体"/>
          <w:kern w:val="0"/>
          <w:sz w:val="24"/>
        </w:rPr>
        <w:t>）皖南区域文房四宝系列知识的文学作品（小说</w:t>
      </w:r>
      <w:r>
        <w:rPr>
          <w:rFonts w:ascii="宋体" w:hAnsi="宋体" w:cs="宋体"/>
          <w:sz w:val="24"/>
        </w:rPr>
        <w:t>、</w:t>
      </w:r>
      <w:r>
        <w:rPr>
          <w:rFonts w:ascii="宋体" w:hAnsi="宋体" w:cs="宋体"/>
          <w:kern w:val="0"/>
          <w:sz w:val="24"/>
        </w:rPr>
        <w:t>诗歌</w:t>
      </w:r>
      <w:r>
        <w:rPr>
          <w:rFonts w:ascii="宋体" w:hAnsi="宋体" w:cs="宋体"/>
          <w:sz w:val="24"/>
        </w:rPr>
        <w:t>、</w:t>
      </w:r>
      <w:r>
        <w:rPr>
          <w:rFonts w:ascii="宋体" w:hAnsi="宋体" w:cs="宋体"/>
          <w:kern w:val="0"/>
          <w:sz w:val="24"/>
        </w:rPr>
        <w:t>散文）创作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（8</w:t>
      </w:r>
      <w:r>
        <w:rPr>
          <w:rFonts w:ascii="宋体" w:hAnsi="宋体" w:cs="宋体"/>
          <w:kern w:val="0"/>
          <w:sz w:val="24"/>
        </w:rPr>
        <w:t>）皖南区域文房四宝的标准化工艺创新与设计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（9）</w:t>
      </w:r>
      <w:r>
        <w:rPr>
          <w:rFonts w:ascii="宋体" w:hAnsi="宋体" w:cs="宋体"/>
          <w:kern w:val="0"/>
          <w:sz w:val="24"/>
        </w:rPr>
        <w:t>新型材料在皖南区域文房四宝产业中的运用与创新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</w:t>
      </w:r>
      <w:r>
        <w:rPr>
          <w:rFonts w:ascii="宋体" w:hAnsi="宋体" w:cs="宋体"/>
          <w:kern w:val="0"/>
          <w:sz w:val="24"/>
        </w:rPr>
        <w:t>0）皖南区域</w:t>
      </w:r>
      <w:r>
        <w:rPr>
          <w:rFonts w:hint="eastAsia" w:ascii="宋体" w:hAnsi="宋体" w:cs="宋体"/>
          <w:kern w:val="0"/>
          <w:sz w:val="24"/>
        </w:rPr>
        <w:t>文房四宝制作工艺的创新改进思路。</w:t>
      </w:r>
    </w:p>
    <w:p>
      <w:pPr>
        <w:spacing w:line="360" w:lineRule="auto"/>
        <w:ind w:left="482"/>
        <w:jc w:val="left"/>
        <w:rPr>
          <w:sz w:val="24"/>
        </w:rPr>
      </w:pPr>
      <w:r>
        <w:rPr>
          <w:rFonts w:hint="eastAsia" w:ascii="宋体" w:hAnsi="宋体" w:cs="宋体"/>
          <w:kern w:val="0"/>
          <w:sz w:val="24"/>
        </w:rPr>
        <w:t>（1</w:t>
      </w:r>
      <w:r>
        <w:rPr>
          <w:rFonts w:ascii="宋体" w:hAnsi="宋体" w:cs="宋体"/>
          <w:kern w:val="0"/>
          <w:sz w:val="24"/>
        </w:rPr>
        <w:t>1）</w:t>
      </w:r>
      <w:r>
        <w:rPr>
          <w:rFonts w:hint="eastAsia"/>
          <w:sz w:val="24"/>
        </w:rPr>
        <w:t>中国文化名片“文房四宝”的新媒介创新传播。</w:t>
      </w:r>
    </w:p>
    <w:p>
      <w:pPr>
        <w:spacing w:line="360" w:lineRule="auto"/>
        <w:ind w:left="482"/>
        <w:jc w:val="left"/>
        <w:rPr>
          <w:sz w:val="24"/>
        </w:rPr>
      </w:pPr>
      <w:r>
        <w:rPr>
          <w:rFonts w:hint="eastAsia"/>
          <w:sz w:val="24"/>
        </w:rPr>
        <w:t>（1</w:t>
      </w:r>
      <w:r>
        <w:rPr>
          <w:sz w:val="24"/>
        </w:rPr>
        <w:t>2）</w:t>
      </w:r>
      <w:r>
        <w:rPr>
          <w:rFonts w:hint="eastAsia"/>
          <w:sz w:val="24"/>
        </w:rPr>
        <w:t>“文房四宝之乡” 宣城融入长三角和长江经济带的路径设计。</w:t>
      </w:r>
    </w:p>
    <w:p>
      <w:pPr>
        <w:spacing w:line="360" w:lineRule="auto"/>
        <w:ind w:left="482"/>
        <w:jc w:val="left"/>
        <w:rPr>
          <w:sz w:val="24"/>
        </w:rPr>
      </w:pPr>
      <w:r>
        <w:rPr>
          <w:rFonts w:hint="eastAsia"/>
          <w:sz w:val="24"/>
        </w:rPr>
        <w:t>（1</w:t>
      </w:r>
      <w:r>
        <w:rPr>
          <w:sz w:val="24"/>
        </w:rPr>
        <w:t>3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/>
          <w:sz w:val="24"/>
        </w:rPr>
        <w:t>明清徽商与文房四宝形成的互动历史与内在关系考察。</w:t>
      </w:r>
    </w:p>
    <w:p>
      <w:pPr>
        <w:spacing w:line="360" w:lineRule="auto"/>
        <w:ind w:left="482"/>
        <w:jc w:val="left"/>
        <w:rPr>
          <w:sz w:val="24"/>
        </w:rPr>
      </w:pPr>
      <w:r>
        <w:rPr>
          <w:rFonts w:hint="eastAsia"/>
          <w:sz w:val="24"/>
        </w:rPr>
        <w:t>（1</w:t>
      </w:r>
      <w:r>
        <w:rPr>
          <w:sz w:val="24"/>
        </w:rPr>
        <w:t>4</w:t>
      </w:r>
      <w:r>
        <w:rPr>
          <w:rFonts w:ascii="宋体" w:hAnsi="宋体" w:cs="宋体"/>
          <w:kern w:val="0"/>
          <w:sz w:val="24"/>
        </w:rPr>
        <w:t>）皖南区域</w:t>
      </w:r>
      <w:r>
        <w:rPr>
          <w:rFonts w:hint="eastAsia"/>
          <w:sz w:val="24"/>
        </w:rPr>
        <w:t>文房四宝如何融入新时代“一带一路”建设。</w:t>
      </w:r>
    </w:p>
    <w:p>
      <w:pPr>
        <w:spacing w:line="360" w:lineRule="auto"/>
        <w:ind w:left="482"/>
        <w:jc w:val="left"/>
        <w:rPr>
          <w:rFonts w:ascii="宋体" w:hAnsi="宋体" w:cs="宋体"/>
          <w:b/>
          <w:sz w:val="24"/>
        </w:rPr>
      </w:pPr>
      <w:r>
        <w:rPr>
          <w:rFonts w:hint="eastAsia"/>
          <w:sz w:val="24"/>
        </w:rPr>
        <w:t>（1</w:t>
      </w:r>
      <w:r>
        <w:rPr>
          <w:sz w:val="24"/>
        </w:rPr>
        <w:t>5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/>
          <w:sz w:val="24"/>
        </w:rPr>
        <w:t>现代传媒手段融入文房四宝产业化的有效路径。</w:t>
      </w:r>
    </w:p>
    <w:p>
      <w:pPr>
        <w:spacing w:line="360" w:lineRule="auto"/>
        <w:ind w:left="482"/>
        <w:jc w:val="left"/>
        <w:rPr>
          <w:sz w:val="24"/>
        </w:rPr>
      </w:pPr>
      <w:r>
        <w:rPr>
          <w:rFonts w:hint="eastAsia"/>
          <w:sz w:val="24"/>
        </w:rPr>
        <w:t>（1</w:t>
      </w:r>
      <w:r>
        <w:rPr>
          <w:sz w:val="24"/>
        </w:rPr>
        <w:t>6</w:t>
      </w:r>
      <w:r>
        <w:rPr>
          <w:rFonts w:ascii="宋体" w:hAnsi="宋体" w:cs="宋体"/>
          <w:kern w:val="0"/>
          <w:sz w:val="24"/>
        </w:rPr>
        <w:t>）</w:t>
      </w:r>
      <w:r>
        <w:rPr>
          <w:rFonts w:hint="eastAsia"/>
          <w:sz w:val="24"/>
        </w:rPr>
        <w:t>文房四宝与宣城“宛陵科创城”的耦合路径与创意设计。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7）皖南区域文房四宝系列知识的微文学作品（微小说</w:t>
      </w:r>
      <w:r>
        <w:rPr>
          <w:rFonts w:ascii="宋体" w:hAnsi="宋体" w:cs="宋体"/>
          <w:sz w:val="24"/>
        </w:rPr>
        <w:t>、微</w:t>
      </w:r>
      <w:r>
        <w:rPr>
          <w:rFonts w:ascii="宋体" w:hAnsi="宋体" w:cs="宋体"/>
          <w:kern w:val="0"/>
          <w:sz w:val="24"/>
        </w:rPr>
        <w:t>诗歌</w:t>
      </w:r>
      <w:r>
        <w:rPr>
          <w:rFonts w:ascii="宋体" w:hAnsi="宋体" w:cs="宋体"/>
          <w:sz w:val="24"/>
        </w:rPr>
        <w:t>、微</w:t>
      </w:r>
      <w:r>
        <w:rPr>
          <w:rFonts w:ascii="宋体" w:hAnsi="宋体" w:cs="宋体"/>
          <w:kern w:val="0"/>
          <w:sz w:val="24"/>
        </w:rPr>
        <w:t>散文）创作</w:t>
      </w:r>
      <w:r>
        <w:rPr>
          <w:rFonts w:hint="eastAsia" w:ascii="宋体" w:hAnsi="宋体" w:cs="宋体"/>
          <w:kern w:val="0"/>
          <w:sz w:val="24"/>
        </w:rPr>
        <w:t>。</w:t>
      </w:r>
    </w:p>
    <w:p>
      <w:pPr>
        <w:spacing w:line="360" w:lineRule="auto"/>
        <w:ind w:left="482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</w:t>
      </w:r>
      <w:r>
        <w:rPr>
          <w:rFonts w:hint="eastAsia" w:ascii="宋体" w:hAnsi="宋体" w:cs="宋体"/>
          <w:kern w:val="0"/>
          <w:sz w:val="24"/>
        </w:rPr>
        <w:t>1</w:t>
      </w:r>
      <w:r>
        <w:rPr>
          <w:rFonts w:ascii="宋体" w:hAnsi="宋体" w:cs="宋体"/>
          <w:kern w:val="0"/>
          <w:sz w:val="24"/>
        </w:rPr>
        <w:t>8）</w:t>
      </w:r>
      <w:r>
        <w:rPr>
          <w:rFonts w:hint="eastAsia"/>
          <w:sz w:val="24"/>
        </w:rPr>
        <w:t>文房四宝与现代科技信息条件下</w:t>
      </w:r>
      <w:r>
        <w:rPr>
          <w:rFonts w:hint="eastAsia" w:ascii="宋体" w:hAnsi="宋体" w:cs="宋体"/>
          <w:kern w:val="0"/>
          <w:sz w:val="24"/>
        </w:rPr>
        <w:t>文创产品设计。</w:t>
      </w:r>
    </w:p>
    <w:p>
      <w:pPr>
        <w:spacing w:line="360" w:lineRule="auto"/>
        <w:ind w:left="482"/>
        <w:jc w:val="left"/>
        <w:rPr>
          <w:sz w:val="24"/>
        </w:rPr>
      </w:pPr>
      <w:r>
        <w:rPr>
          <w:rFonts w:ascii="宋体" w:hAnsi="宋体" w:cs="宋体"/>
          <w:kern w:val="0"/>
          <w:sz w:val="24"/>
        </w:rPr>
        <w:t>（1</w:t>
      </w:r>
      <w:r>
        <w:rPr>
          <w:sz w:val="24"/>
        </w:rPr>
        <w:t>9）文房四宝与</w:t>
      </w:r>
      <w:r>
        <w:rPr>
          <w:rFonts w:hint="eastAsia"/>
          <w:sz w:val="24"/>
        </w:rPr>
        <w:t>弘扬、传承大国工匠精神</w:t>
      </w:r>
      <w:r>
        <w:rPr>
          <w:sz w:val="24"/>
        </w:rPr>
        <w:t>与工匠文化打造</w:t>
      </w:r>
      <w:r>
        <w:rPr>
          <w:rFonts w:hint="eastAsia"/>
          <w:sz w:val="24"/>
        </w:rPr>
        <w:t>。</w:t>
      </w:r>
    </w:p>
    <w:p>
      <w:pPr>
        <w:spacing w:line="420" w:lineRule="exact"/>
        <w:ind w:left="482"/>
        <w:jc w:val="left"/>
        <w:rPr>
          <w:sz w:val="24"/>
        </w:rPr>
      </w:pPr>
      <w:r>
        <w:rPr>
          <w:sz w:val="24"/>
        </w:rPr>
        <w:t>（</w:t>
      </w:r>
      <w:r>
        <w:rPr>
          <w:rFonts w:hint="eastAsia"/>
          <w:sz w:val="24"/>
        </w:rPr>
        <w:t>2</w:t>
      </w:r>
      <w:r>
        <w:rPr>
          <w:sz w:val="24"/>
        </w:rPr>
        <w:t>0）文房四宝融入“立德树人”教学一体化体系。</w:t>
      </w:r>
    </w:p>
    <w:p>
      <w:pPr>
        <w:ind w:firstLine="48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jJmMjVkZGYyODNlMGY5OGY1ZjMxYjMxMTI5NjcifQ=="/>
  </w:docVars>
  <w:rsids>
    <w:rsidRoot w:val="004224B9"/>
    <w:rsid w:val="00003238"/>
    <w:rsid w:val="0014204B"/>
    <w:rsid w:val="00165FBD"/>
    <w:rsid w:val="00316120"/>
    <w:rsid w:val="003A382C"/>
    <w:rsid w:val="004224B9"/>
    <w:rsid w:val="004A1A4C"/>
    <w:rsid w:val="004F47B2"/>
    <w:rsid w:val="00604971"/>
    <w:rsid w:val="00726CF8"/>
    <w:rsid w:val="007E446E"/>
    <w:rsid w:val="008422CB"/>
    <w:rsid w:val="008C1A33"/>
    <w:rsid w:val="008F3898"/>
    <w:rsid w:val="00A52286"/>
    <w:rsid w:val="00A546EE"/>
    <w:rsid w:val="00C66ECC"/>
    <w:rsid w:val="00C97E3E"/>
    <w:rsid w:val="00FC57BE"/>
    <w:rsid w:val="08275C22"/>
    <w:rsid w:val="13F05A62"/>
    <w:rsid w:val="144872F2"/>
    <w:rsid w:val="148F7E2C"/>
    <w:rsid w:val="17976034"/>
    <w:rsid w:val="18DD5C74"/>
    <w:rsid w:val="18FE29CF"/>
    <w:rsid w:val="1AAA7E1A"/>
    <w:rsid w:val="1C5F5724"/>
    <w:rsid w:val="27694E3C"/>
    <w:rsid w:val="2D314CC9"/>
    <w:rsid w:val="30843FBD"/>
    <w:rsid w:val="30D31C5A"/>
    <w:rsid w:val="347831DE"/>
    <w:rsid w:val="3C4D4F50"/>
    <w:rsid w:val="3D0C38A4"/>
    <w:rsid w:val="43841508"/>
    <w:rsid w:val="465B431C"/>
    <w:rsid w:val="4F1931A5"/>
    <w:rsid w:val="537B70F2"/>
    <w:rsid w:val="55320D2F"/>
    <w:rsid w:val="562D2D09"/>
    <w:rsid w:val="5C4515F1"/>
    <w:rsid w:val="5F43000E"/>
    <w:rsid w:val="5FC133DB"/>
    <w:rsid w:val="63C705B2"/>
    <w:rsid w:val="6B6926E0"/>
    <w:rsid w:val="6ED550F8"/>
    <w:rsid w:val="71904F33"/>
    <w:rsid w:val="74584B3F"/>
    <w:rsid w:val="78D14237"/>
    <w:rsid w:val="7B19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Lines/>
      <w:widowControl/>
      <w:spacing w:before="240" w:after="240"/>
      <w:jc w:val="center"/>
      <w:outlineLvl w:val="0"/>
    </w:pPr>
    <w:rPr>
      <w:rFonts w:ascii="黑体" w:eastAsia="黑体"/>
      <w:bCs/>
      <w:kern w:val="44"/>
      <w:sz w:val="30"/>
      <w:szCs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rPr>
      <w:sz w:val="24"/>
    </w:rPr>
  </w:style>
  <w:style w:type="table" w:styleId="8">
    <w:name w:val="Table Grid"/>
    <w:basedOn w:val="7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2">
    <w:name w:val="标题 1 Char"/>
    <w:basedOn w:val="9"/>
    <w:link w:val="2"/>
    <w:qFormat/>
    <w:uiPriority w:val="9"/>
    <w:rPr>
      <w:rFonts w:ascii="黑体" w:eastAsia="黑体"/>
      <w:bCs/>
      <w:kern w:val="44"/>
      <w:sz w:val="30"/>
      <w:szCs w:val="44"/>
    </w:rPr>
  </w:style>
  <w:style w:type="character" w:customStyle="1" w:styleId="13">
    <w:name w:val="页眉 Char"/>
    <w:basedOn w:val="9"/>
    <w:link w:val="5"/>
    <w:qFormat/>
    <w:uiPriority w:val="99"/>
    <w:rPr>
      <w:rFonts w:ascii="宋体" w:eastAsia="宋体"/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1161</Words>
  <Characters>1227</Characters>
  <Lines>9</Lines>
  <Paragraphs>2</Paragraphs>
  <TotalTime>5</TotalTime>
  <ScaleCrop>false</ScaleCrop>
  <LinksUpToDate>false</LinksUpToDate>
  <CharactersWithSpaces>1228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2022-07-08T01:00:00Z</dcterms:created>
  <dc:creator>Administrator</dc:creator>
  <cp:lastModifiedBy>夏勤</cp:lastModifiedBy>
  <dcterms:modified xsi:type="dcterms:W3CDTF">2022-07-14T07:35:46Z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DEC24D1BD67F4CE682BFA85172A2ECB5</vt:lpwstr>
  </property>
</Properties>
</file>